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E4A94" w14:textId="34B47CC2" w:rsidR="002A4DC5" w:rsidRDefault="002A4DC5">
      <w:pPr>
        <w:spacing w:after="0"/>
        <w:ind w:right="416"/>
        <w:jc w:val="center"/>
      </w:pPr>
    </w:p>
    <w:tbl>
      <w:tblPr>
        <w:tblStyle w:val="TableGrid"/>
        <w:tblW w:w="9766" w:type="dxa"/>
        <w:tblInd w:w="-140" w:type="dxa"/>
        <w:tblCellMar>
          <w:top w:w="48" w:type="dxa"/>
          <w:left w:w="106" w:type="dxa"/>
          <w:bottom w:w="0" w:type="dxa"/>
          <w:right w:w="58" w:type="dxa"/>
        </w:tblCellMar>
        <w:tblLook w:val="04A0" w:firstRow="1" w:lastRow="0" w:firstColumn="1" w:lastColumn="0" w:noHBand="0" w:noVBand="1"/>
      </w:tblPr>
      <w:tblGrid>
        <w:gridCol w:w="3049"/>
        <w:gridCol w:w="6717"/>
      </w:tblGrid>
      <w:tr w:rsidR="002A4DC5" w14:paraId="3B38C080" w14:textId="77777777">
        <w:trPr>
          <w:trHeight w:val="350"/>
        </w:trPr>
        <w:tc>
          <w:tcPr>
            <w:tcW w:w="9766" w:type="dxa"/>
            <w:gridSpan w:val="2"/>
            <w:tcBorders>
              <w:top w:val="single" w:sz="4" w:space="0" w:color="000000"/>
              <w:left w:val="single" w:sz="4" w:space="0" w:color="000000"/>
              <w:bottom w:val="single" w:sz="4" w:space="0" w:color="000000"/>
              <w:right w:val="single" w:sz="4" w:space="0" w:color="000000"/>
            </w:tcBorders>
            <w:shd w:val="clear" w:color="auto" w:fill="DBE5F1"/>
          </w:tcPr>
          <w:p w14:paraId="2A5FE09D" w14:textId="77777777" w:rsidR="002A4DC5" w:rsidRDefault="00975032">
            <w:pPr>
              <w:spacing w:after="0"/>
              <w:ind w:right="48"/>
              <w:jc w:val="center"/>
            </w:pPr>
            <w:r>
              <w:rPr>
                <w:b/>
                <w:sz w:val="28"/>
              </w:rPr>
              <w:t xml:space="preserve">OFFRE </w:t>
            </w:r>
          </w:p>
        </w:tc>
      </w:tr>
      <w:tr w:rsidR="002A4DC5" w14:paraId="3D1A6EF6" w14:textId="77777777" w:rsidTr="00975032">
        <w:trPr>
          <w:trHeight w:val="280"/>
        </w:trPr>
        <w:tc>
          <w:tcPr>
            <w:tcW w:w="3049" w:type="dxa"/>
            <w:tcBorders>
              <w:top w:val="single" w:sz="4" w:space="0" w:color="000000"/>
              <w:left w:val="single" w:sz="4" w:space="0" w:color="000000"/>
              <w:bottom w:val="single" w:sz="4" w:space="0" w:color="000000"/>
              <w:right w:val="single" w:sz="4" w:space="0" w:color="000000"/>
            </w:tcBorders>
          </w:tcPr>
          <w:p w14:paraId="0B3DC3B2" w14:textId="77777777" w:rsidR="002A4DC5" w:rsidRDefault="00975032">
            <w:pPr>
              <w:spacing w:after="0"/>
              <w:ind w:left="1"/>
            </w:pPr>
            <w:r>
              <w:t xml:space="preserve">Intitulé du poste </w:t>
            </w:r>
          </w:p>
        </w:tc>
        <w:tc>
          <w:tcPr>
            <w:tcW w:w="6717" w:type="dxa"/>
            <w:tcBorders>
              <w:top w:val="single" w:sz="4" w:space="0" w:color="000000"/>
              <w:left w:val="single" w:sz="4" w:space="0" w:color="000000"/>
              <w:bottom w:val="single" w:sz="4" w:space="0" w:color="000000"/>
              <w:right w:val="single" w:sz="4" w:space="0" w:color="000000"/>
            </w:tcBorders>
          </w:tcPr>
          <w:p w14:paraId="5B894B4B" w14:textId="77777777" w:rsidR="002A4DC5" w:rsidRPr="00975032" w:rsidRDefault="00975032">
            <w:pPr>
              <w:spacing w:after="0"/>
              <w:rPr>
                <w:b/>
                <w:bCs/>
                <w:sz w:val="32"/>
                <w:szCs w:val="32"/>
              </w:rPr>
            </w:pPr>
            <w:r w:rsidRPr="00975032">
              <w:rPr>
                <w:b/>
                <w:bCs/>
                <w:sz w:val="32"/>
                <w:szCs w:val="32"/>
              </w:rPr>
              <w:t xml:space="preserve">Développeur Java </w:t>
            </w:r>
            <w:proofErr w:type="spellStart"/>
            <w:r w:rsidRPr="00975032">
              <w:rPr>
                <w:b/>
                <w:bCs/>
                <w:sz w:val="32"/>
                <w:szCs w:val="32"/>
              </w:rPr>
              <w:t>FullStack</w:t>
            </w:r>
            <w:proofErr w:type="spellEnd"/>
            <w:r w:rsidRPr="00975032">
              <w:rPr>
                <w:b/>
                <w:bCs/>
                <w:sz w:val="32"/>
                <w:szCs w:val="32"/>
              </w:rPr>
              <w:t xml:space="preserve"> </w:t>
            </w:r>
          </w:p>
        </w:tc>
      </w:tr>
      <w:tr w:rsidR="002A4DC5" w14:paraId="5E0C1D59" w14:textId="77777777" w:rsidTr="00975032">
        <w:trPr>
          <w:trHeight w:val="278"/>
        </w:trPr>
        <w:tc>
          <w:tcPr>
            <w:tcW w:w="3049" w:type="dxa"/>
            <w:tcBorders>
              <w:top w:val="single" w:sz="4" w:space="0" w:color="000000"/>
              <w:left w:val="single" w:sz="4" w:space="0" w:color="000000"/>
              <w:bottom w:val="single" w:sz="4" w:space="0" w:color="000000"/>
              <w:right w:val="single" w:sz="4" w:space="0" w:color="000000"/>
            </w:tcBorders>
          </w:tcPr>
          <w:p w14:paraId="3A1FB0BB" w14:textId="77777777" w:rsidR="002A4DC5" w:rsidRDefault="00975032">
            <w:pPr>
              <w:spacing w:after="0"/>
              <w:ind w:left="1"/>
            </w:pPr>
            <w:r>
              <w:t xml:space="preserve">Numéro de l’offre </w:t>
            </w:r>
          </w:p>
        </w:tc>
        <w:tc>
          <w:tcPr>
            <w:tcW w:w="6717" w:type="dxa"/>
            <w:tcBorders>
              <w:top w:val="single" w:sz="4" w:space="0" w:color="000000"/>
              <w:left w:val="single" w:sz="4" w:space="0" w:color="000000"/>
              <w:bottom w:val="single" w:sz="4" w:space="0" w:color="000000"/>
              <w:right w:val="single" w:sz="4" w:space="0" w:color="000000"/>
            </w:tcBorders>
          </w:tcPr>
          <w:p w14:paraId="6CCBB5D8" w14:textId="77777777" w:rsidR="002A4DC5" w:rsidRDefault="00975032">
            <w:pPr>
              <w:spacing w:after="0"/>
            </w:pPr>
            <w:r>
              <w:t xml:space="preserve">550 </w:t>
            </w:r>
          </w:p>
        </w:tc>
      </w:tr>
      <w:tr w:rsidR="002A4DC5" w14:paraId="69AE83AC" w14:textId="77777777" w:rsidTr="00975032">
        <w:trPr>
          <w:trHeight w:val="278"/>
        </w:trPr>
        <w:tc>
          <w:tcPr>
            <w:tcW w:w="3049" w:type="dxa"/>
            <w:tcBorders>
              <w:top w:val="single" w:sz="4" w:space="0" w:color="000000"/>
              <w:left w:val="single" w:sz="4" w:space="0" w:color="000000"/>
              <w:bottom w:val="single" w:sz="4" w:space="0" w:color="000000"/>
              <w:right w:val="single" w:sz="4" w:space="0" w:color="000000"/>
            </w:tcBorders>
          </w:tcPr>
          <w:p w14:paraId="11CEBF2B" w14:textId="77777777" w:rsidR="002A4DC5" w:rsidRDefault="00975032">
            <w:pPr>
              <w:spacing w:after="0"/>
              <w:ind w:left="1"/>
            </w:pPr>
            <w:r>
              <w:t xml:space="preserve">Date de fin de validité  </w:t>
            </w:r>
          </w:p>
        </w:tc>
        <w:tc>
          <w:tcPr>
            <w:tcW w:w="6717" w:type="dxa"/>
            <w:tcBorders>
              <w:top w:val="single" w:sz="4" w:space="0" w:color="000000"/>
              <w:left w:val="single" w:sz="4" w:space="0" w:color="000000"/>
              <w:bottom w:val="single" w:sz="4" w:space="0" w:color="000000"/>
              <w:right w:val="single" w:sz="4" w:space="0" w:color="000000"/>
            </w:tcBorders>
          </w:tcPr>
          <w:p w14:paraId="4388944F" w14:textId="4968AD24" w:rsidR="002A4DC5" w:rsidRDefault="002A4DC5">
            <w:pPr>
              <w:spacing w:after="0"/>
            </w:pPr>
          </w:p>
        </w:tc>
      </w:tr>
      <w:tr w:rsidR="002A4DC5" w14:paraId="51969B41" w14:textId="77777777" w:rsidTr="00975032">
        <w:trPr>
          <w:trHeight w:val="278"/>
        </w:trPr>
        <w:tc>
          <w:tcPr>
            <w:tcW w:w="3049" w:type="dxa"/>
            <w:tcBorders>
              <w:top w:val="single" w:sz="4" w:space="0" w:color="000000"/>
              <w:left w:val="single" w:sz="4" w:space="0" w:color="000000"/>
              <w:bottom w:val="single" w:sz="4" w:space="0" w:color="000000"/>
              <w:right w:val="single" w:sz="4" w:space="0" w:color="000000"/>
            </w:tcBorders>
          </w:tcPr>
          <w:p w14:paraId="66FE49AE" w14:textId="77777777" w:rsidR="002A4DC5" w:rsidRDefault="00975032">
            <w:pPr>
              <w:spacing w:after="0"/>
              <w:ind w:left="1"/>
            </w:pPr>
            <w:r>
              <w:t xml:space="preserve">Nombre de postes </w:t>
            </w:r>
          </w:p>
        </w:tc>
        <w:tc>
          <w:tcPr>
            <w:tcW w:w="6717" w:type="dxa"/>
            <w:tcBorders>
              <w:top w:val="single" w:sz="4" w:space="0" w:color="000000"/>
              <w:left w:val="single" w:sz="4" w:space="0" w:color="000000"/>
              <w:bottom w:val="single" w:sz="4" w:space="0" w:color="000000"/>
              <w:right w:val="single" w:sz="4" w:space="0" w:color="000000"/>
            </w:tcBorders>
          </w:tcPr>
          <w:p w14:paraId="445D7D24" w14:textId="77777777" w:rsidR="002A4DC5" w:rsidRDefault="00975032">
            <w:pPr>
              <w:spacing w:after="0"/>
            </w:pPr>
            <w:r>
              <w:t xml:space="preserve">15 </w:t>
            </w:r>
          </w:p>
        </w:tc>
      </w:tr>
      <w:tr w:rsidR="002A4DC5" w14:paraId="4C5C842B" w14:textId="77777777">
        <w:trPr>
          <w:trHeight w:val="348"/>
        </w:trPr>
        <w:tc>
          <w:tcPr>
            <w:tcW w:w="9766" w:type="dxa"/>
            <w:gridSpan w:val="2"/>
            <w:tcBorders>
              <w:top w:val="single" w:sz="4" w:space="0" w:color="000000"/>
              <w:left w:val="single" w:sz="4" w:space="0" w:color="000000"/>
              <w:bottom w:val="single" w:sz="4" w:space="0" w:color="000000"/>
              <w:right w:val="single" w:sz="4" w:space="0" w:color="000000"/>
            </w:tcBorders>
            <w:shd w:val="clear" w:color="auto" w:fill="DBE5F1"/>
          </w:tcPr>
          <w:p w14:paraId="0A5DD261" w14:textId="77777777" w:rsidR="002A4DC5" w:rsidRDefault="00975032">
            <w:pPr>
              <w:spacing w:after="0"/>
              <w:ind w:right="50"/>
              <w:jc w:val="center"/>
            </w:pPr>
            <w:r>
              <w:rPr>
                <w:b/>
                <w:sz w:val="28"/>
              </w:rPr>
              <w:t>EMPLOYEUR</w:t>
            </w:r>
            <w:r>
              <w:t xml:space="preserve"> </w:t>
            </w:r>
          </w:p>
        </w:tc>
      </w:tr>
      <w:tr w:rsidR="002A4DC5" w14:paraId="49ED2E48" w14:textId="77777777" w:rsidTr="00975032">
        <w:trPr>
          <w:trHeight w:val="548"/>
        </w:trPr>
        <w:tc>
          <w:tcPr>
            <w:tcW w:w="3049" w:type="dxa"/>
            <w:tcBorders>
              <w:top w:val="single" w:sz="4" w:space="0" w:color="000000"/>
              <w:left w:val="single" w:sz="4" w:space="0" w:color="000000"/>
              <w:bottom w:val="single" w:sz="4" w:space="0" w:color="000000"/>
              <w:right w:val="single" w:sz="4" w:space="0" w:color="000000"/>
            </w:tcBorders>
          </w:tcPr>
          <w:p w14:paraId="1447308D" w14:textId="77777777" w:rsidR="002A4DC5" w:rsidRDefault="00975032">
            <w:pPr>
              <w:spacing w:after="0"/>
              <w:ind w:left="1"/>
            </w:pPr>
            <w:r>
              <w:t xml:space="preserve">Raison sociale de l’employeur   </w:t>
            </w:r>
          </w:p>
        </w:tc>
        <w:tc>
          <w:tcPr>
            <w:tcW w:w="6717" w:type="dxa"/>
            <w:tcBorders>
              <w:top w:val="single" w:sz="4" w:space="0" w:color="000000"/>
              <w:left w:val="single" w:sz="4" w:space="0" w:color="000000"/>
              <w:bottom w:val="single" w:sz="4" w:space="0" w:color="000000"/>
              <w:right w:val="single" w:sz="4" w:space="0" w:color="000000"/>
            </w:tcBorders>
          </w:tcPr>
          <w:p w14:paraId="0A1E5D47" w14:textId="77777777" w:rsidR="002A4DC5" w:rsidRDefault="00975032">
            <w:pPr>
              <w:spacing w:after="0"/>
            </w:pPr>
            <w:r>
              <w:t xml:space="preserve">Capgemini (en partenariat avec l’organisme de formation EQL </w:t>
            </w:r>
            <w:hyperlink r:id="rId5">
              <w:r>
                <w:rPr>
                  <w:color w:val="0000FF"/>
                  <w:u w:val="single" w:color="0000FF"/>
                </w:rPr>
                <w:t>https://www.ecoleql.fr/</w:t>
              </w:r>
            </w:hyperlink>
            <w:hyperlink r:id="rId6">
              <w:r>
                <w:t xml:space="preserve"> </w:t>
              </w:r>
            </w:hyperlink>
            <w:r>
              <w:t xml:space="preserve">) </w:t>
            </w:r>
          </w:p>
        </w:tc>
      </w:tr>
      <w:tr w:rsidR="002A4DC5" w14:paraId="46A25ADD" w14:textId="77777777" w:rsidTr="00975032">
        <w:trPr>
          <w:trHeight w:val="279"/>
        </w:trPr>
        <w:tc>
          <w:tcPr>
            <w:tcW w:w="3049" w:type="dxa"/>
            <w:tcBorders>
              <w:top w:val="single" w:sz="4" w:space="0" w:color="000000"/>
              <w:left w:val="single" w:sz="4" w:space="0" w:color="000000"/>
              <w:bottom w:val="single" w:sz="4" w:space="0" w:color="000000"/>
              <w:right w:val="single" w:sz="4" w:space="0" w:color="000000"/>
            </w:tcBorders>
          </w:tcPr>
          <w:p w14:paraId="2B15508E" w14:textId="77777777" w:rsidR="002A4DC5" w:rsidRDefault="00975032">
            <w:pPr>
              <w:spacing w:after="0"/>
              <w:ind w:left="1"/>
            </w:pPr>
            <w:r>
              <w:t xml:space="preserve">Numéro de SIRET </w:t>
            </w:r>
          </w:p>
        </w:tc>
        <w:tc>
          <w:tcPr>
            <w:tcW w:w="6717" w:type="dxa"/>
            <w:tcBorders>
              <w:top w:val="single" w:sz="4" w:space="0" w:color="000000"/>
              <w:left w:val="single" w:sz="4" w:space="0" w:color="000000"/>
              <w:bottom w:val="single" w:sz="4" w:space="0" w:color="000000"/>
              <w:right w:val="single" w:sz="4" w:space="0" w:color="000000"/>
            </w:tcBorders>
          </w:tcPr>
          <w:p w14:paraId="6BC02D9A" w14:textId="77777777" w:rsidR="002A4DC5" w:rsidRDefault="00975032">
            <w:pPr>
              <w:spacing w:after="0"/>
            </w:pPr>
            <w:r>
              <w:t xml:space="preserve">479 766 842 00724 </w:t>
            </w:r>
          </w:p>
        </w:tc>
      </w:tr>
      <w:tr w:rsidR="002A4DC5" w14:paraId="247B05C3" w14:textId="77777777" w:rsidTr="00975032">
        <w:trPr>
          <w:trHeight w:val="1624"/>
        </w:trPr>
        <w:tc>
          <w:tcPr>
            <w:tcW w:w="3049" w:type="dxa"/>
            <w:tcBorders>
              <w:top w:val="single" w:sz="4" w:space="0" w:color="000000"/>
              <w:left w:val="single" w:sz="4" w:space="0" w:color="000000"/>
              <w:bottom w:val="single" w:sz="4" w:space="0" w:color="000000"/>
              <w:right w:val="single" w:sz="4" w:space="0" w:color="000000"/>
            </w:tcBorders>
          </w:tcPr>
          <w:p w14:paraId="5D84BC1B" w14:textId="77777777" w:rsidR="002A4DC5" w:rsidRDefault="00975032">
            <w:pPr>
              <w:spacing w:after="0"/>
              <w:ind w:left="1"/>
            </w:pPr>
            <w:r>
              <w:t xml:space="preserve">Présentation de l’entreprise  </w:t>
            </w:r>
          </w:p>
        </w:tc>
        <w:tc>
          <w:tcPr>
            <w:tcW w:w="6717" w:type="dxa"/>
            <w:tcBorders>
              <w:top w:val="single" w:sz="4" w:space="0" w:color="000000"/>
              <w:left w:val="single" w:sz="4" w:space="0" w:color="000000"/>
              <w:bottom w:val="single" w:sz="4" w:space="0" w:color="000000"/>
              <w:right w:val="single" w:sz="4" w:space="0" w:color="000000"/>
            </w:tcBorders>
          </w:tcPr>
          <w:p w14:paraId="48314042" w14:textId="77777777" w:rsidR="002A4DC5" w:rsidRDefault="00975032">
            <w:pPr>
              <w:spacing w:after="0"/>
              <w:ind w:right="56"/>
              <w:jc w:val="both"/>
            </w:pPr>
            <w:r>
              <w:t xml:space="preserve">Capgemini est </w:t>
            </w:r>
            <w:r>
              <w:t>un leader mondial, responsable et multiculturel, regroupant 270 000 personnes dans près de 50 pays. Partenaire stratégique des entreprises pour la transformation de leurs activités en tirant profit de toute la puissance de la technologie, le Groupe est gui</w:t>
            </w:r>
            <w:r>
              <w:t xml:space="preserve">dé au quotidien par sa raison d’être : libérer les énergies humaines par la technologie pour un avenir inclusif et durable.  </w:t>
            </w:r>
          </w:p>
        </w:tc>
      </w:tr>
      <w:tr w:rsidR="002A4DC5" w14:paraId="64DFFB61" w14:textId="77777777">
        <w:trPr>
          <w:trHeight w:val="348"/>
        </w:trPr>
        <w:tc>
          <w:tcPr>
            <w:tcW w:w="9766" w:type="dxa"/>
            <w:gridSpan w:val="2"/>
            <w:tcBorders>
              <w:top w:val="single" w:sz="4" w:space="0" w:color="000000"/>
              <w:left w:val="single" w:sz="4" w:space="0" w:color="000000"/>
              <w:bottom w:val="single" w:sz="4" w:space="0" w:color="000000"/>
              <w:right w:val="single" w:sz="4" w:space="0" w:color="000000"/>
            </w:tcBorders>
            <w:shd w:val="clear" w:color="auto" w:fill="DBE5F1"/>
          </w:tcPr>
          <w:p w14:paraId="1E98BEE4" w14:textId="77777777" w:rsidR="002A4DC5" w:rsidRDefault="00975032">
            <w:pPr>
              <w:spacing w:after="0"/>
              <w:ind w:right="50"/>
              <w:jc w:val="center"/>
            </w:pPr>
            <w:r>
              <w:rPr>
                <w:b/>
                <w:sz w:val="28"/>
              </w:rPr>
              <w:t>POSTE</w:t>
            </w:r>
            <w:r>
              <w:t xml:space="preserve"> </w:t>
            </w:r>
          </w:p>
        </w:tc>
      </w:tr>
      <w:tr w:rsidR="002A4DC5" w14:paraId="05041FA8" w14:textId="77777777" w:rsidTr="00975032">
        <w:trPr>
          <w:trHeight w:val="548"/>
        </w:trPr>
        <w:tc>
          <w:tcPr>
            <w:tcW w:w="3049" w:type="dxa"/>
            <w:tcBorders>
              <w:top w:val="single" w:sz="4" w:space="0" w:color="000000"/>
              <w:left w:val="single" w:sz="4" w:space="0" w:color="000000"/>
              <w:bottom w:val="single" w:sz="4" w:space="0" w:color="000000"/>
              <w:right w:val="single" w:sz="4" w:space="0" w:color="000000"/>
            </w:tcBorders>
          </w:tcPr>
          <w:p w14:paraId="7FBBAE2C" w14:textId="77777777" w:rsidR="002A4DC5" w:rsidRDefault="00975032">
            <w:pPr>
              <w:spacing w:after="0"/>
              <w:ind w:left="1"/>
            </w:pPr>
            <w:r>
              <w:t xml:space="preserve">Type de contrat </w:t>
            </w:r>
          </w:p>
        </w:tc>
        <w:tc>
          <w:tcPr>
            <w:tcW w:w="6717" w:type="dxa"/>
            <w:tcBorders>
              <w:top w:val="single" w:sz="4" w:space="0" w:color="000000"/>
              <w:left w:val="single" w:sz="4" w:space="0" w:color="000000"/>
              <w:bottom w:val="single" w:sz="4" w:space="0" w:color="000000"/>
              <w:right w:val="single" w:sz="4" w:space="0" w:color="000000"/>
            </w:tcBorders>
          </w:tcPr>
          <w:p w14:paraId="5E15CA70" w14:textId="77777777" w:rsidR="002A4DC5" w:rsidRDefault="00975032">
            <w:pPr>
              <w:spacing w:after="0"/>
              <w:jc w:val="both"/>
            </w:pPr>
            <w:r>
              <w:t xml:space="preserve">POEI ou formation 6 mois prise en charge </w:t>
            </w:r>
            <w:r>
              <w:t xml:space="preserve">par la région + Contrat de professionnalisation de 14 mois </w:t>
            </w:r>
          </w:p>
        </w:tc>
      </w:tr>
      <w:tr w:rsidR="002A4DC5" w14:paraId="665FE157" w14:textId="77777777" w:rsidTr="00975032">
        <w:trPr>
          <w:trHeight w:val="281"/>
        </w:trPr>
        <w:tc>
          <w:tcPr>
            <w:tcW w:w="3049" w:type="dxa"/>
            <w:tcBorders>
              <w:top w:val="single" w:sz="4" w:space="0" w:color="000000"/>
              <w:left w:val="single" w:sz="4" w:space="0" w:color="000000"/>
              <w:bottom w:val="single" w:sz="4" w:space="0" w:color="000000"/>
              <w:right w:val="single" w:sz="4" w:space="0" w:color="000000"/>
            </w:tcBorders>
          </w:tcPr>
          <w:p w14:paraId="323EDD7E" w14:textId="77777777" w:rsidR="002A4DC5" w:rsidRDefault="00975032">
            <w:pPr>
              <w:spacing w:after="0"/>
              <w:ind w:left="1"/>
            </w:pPr>
            <w:r>
              <w:t xml:space="preserve">Volume horaire mensuel </w:t>
            </w:r>
          </w:p>
        </w:tc>
        <w:tc>
          <w:tcPr>
            <w:tcW w:w="6717" w:type="dxa"/>
            <w:tcBorders>
              <w:top w:val="single" w:sz="4" w:space="0" w:color="000000"/>
              <w:left w:val="single" w:sz="4" w:space="0" w:color="000000"/>
              <w:bottom w:val="single" w:sz="4" w:space="0" w:color="000000"/>
              <w:right w:val="single" w:sz="4" w:space="0" w:color="000000"/>
            </w:tcBorders>
          </w:tcPr>
          <w:p w14:paraId="30C3E61E" w14:textId="77777777" w:rsidR="002A4DC5" w:rsidRDefault="00975032">
            <w:pPr>
              <w:spacing w:after="0"/>
            </w:pPr>
            <w:r>
              <w:t xml:space="preserve">151,67 </w:t>
            </w:r>
          </w:p>
        </w:tc>
      </w:tr>
      <w:tr w:rsidR="002A4DC5" w14:paraId="5EA0D6B1" w14:textId="77777777" w:rsidTr="00975032">
        <w:trPr>
          <w:trHeight w:val="279"/>
        </w:trPr>
        <w:tc>
          <w:tcPr>
            <w:tcW w:w="3049" w:type="dxa"/>
            <w:tcBorders>
              <w:top w:val="single" w:sz="4" w:space="0" w:color="000000"/>
              <w:left w:val="single" w:sz="4" w:space="0" w:color="000000"/>
              <w:bottom w:val="single" w:sz="4" w:space="0" w:color="000000"/>
              <w:right w:val="single" w:sz="4" w:space="0" w:color="000000"/>
            </w:tcBorders>
          </w:tcPr>
          <w:p w14:paraId="0754BBA6" w14:textId="77777777" w:rsidR="002A4DC5" w:rsidRDefault="00975032">
            <w:pPr>
              <w:spacing w:after="0"/>
              <w:ind w:left="1"/>
            </w:pPr>
            <w:r>
              <w:t xml:space="preserve">Horaires et jours travaillés </w:t>
            </w:r>
          </w:p>
        </w:tc>
        <w:tc>
          <w:tcPr>
            <w:tcW w:w="6717" w:type="dxa"/>
            <w:tcBorders>
              <w:top w:val="single" w:sz="4" w:space="0" w:color="000000"/>
              <w:left w:val="single" w:sz="4" w:space="0" w:color="000000"/>
              <w:bottom w:val="single" w:sz="4" w:space="0" w:color="000000"/>
              <w:right w:val="single" w:sz="4" w:space="0" w:color="000000"/>
            </w:tcBorders>
          </w:tcPr>
          <w:p w14:paraId="58AF7824" w14:textId="77777777" w:rsidR="002A4DC5" w:rsidRDefault="00975032">
            <w:pPr>
              <w:spacing w:after="0"/>
            </w:pPr>
            <w:r>
              <w:t xml:space="preserve">Lun-Mar-Mer-Jeu-Ven </w:t>
            </w:r>
          </w:p>
        </w:tc>
      </w:tr>
      <w:tr w:rsidR="002A4DC5" w14:paraId="7B9EB7D7" w14:textId="77777777" w:rsidTr="00975032">
        <w:trPr>
          <w:trHeight w:val="814"/>
        </w:trPr>
        <w:tc>
          <w:tcPr>
            <w:tcW w:w="3049" w:type="dxa"/>
            <w:tcBorders>
              <w:top w:val="single" w:sz="4" w:space="0" w:color="000000"/>
              <w:left w:val="single" w:sz="4" w:space="0" w:color="000000"/>
              <w:bottom w:val="single" w:sz="4" w:space="0" w:color="000000"/>
              <w:right w:val="single" w:sz="4" w:space="0" w:color="000000"/>
            </w:tcBorders>
          </w:tcPr>
          <w:p w14:paraId="5B59276E" w14:textId="77777777" w:rsidR="002A4DC5" w:rsidRDefault="00975032">
            <w:pPr>
              <w:spacing w:after="0"/>
              <w:ind w:left="1"/>
            </w:pPr>
            <w:r>
              <w:t xml:space="preserve">Date d’embauche </w:t>
            </w:r>
          </w:p>
        </w:tc>
        <w:tc>
          <w:tcPr>
            <w:tcW w:w="6717" w:type="dxa"/>
            <w:tcBorders>
              <w:top w:val="single" w:sz="4" w:space="0" w:color="000000"/>
              <w:left w:val="single" w:sz="4" w:space="0" w:color="000000"/>
              <w:bottom w:val="single" w:sz="4" w:space="0" w:color="000000"/>
              <w:right w:val="single" w:sz="4" w:space="0" w:color="000000"/>
            </w:tcBorders>
          </w:tcPr>
          <w:p w14:paraId="064A8CB8" w14:textId="77777777" w:rsidR="002A4DC5" w:rsidRDefault="00975032">
            <w:pPr>
              <w:spacing w:after="11"/>
            </w:pPr>
            <w:r>
              <w:t xml:space="preserve">Dates de formation </w:t>
            </w:r>
          </w:p>
          <w:p w14:paraId="75051594" w14:textId="77777777" w:rsidR="002A4DC5" w:rsidRDefault="00975032">
            <w:pPr>
              <w:numPr>
                <w:ilvl w:val="0"/>
                <w:numId w:val="1"/>
              </w:numPr>
              <w:spacing w:after="9"/>
              <w:ind w:hanging="360"/>
            </w:pPr>
            <w:r>
              <w:t xml:space="preserve">Formation : </w:t>
            </w:r>
            <w:r>
              <w:t xml:space="preserve">du 12/07/2022 au 20/12/2022 </w:t>
            </w:r>
          </w:p>
          <w:p w14:paraId="5F19CB72" w14:textId="77777777" w:rsidR="002A4DC5" w:rsidRDefault="00975032">
            <w:pPr>
              <w:numPr>
                <w:ilvl w:val="0"/>
                <w:numId w:val="1"/>
              </w:numPr>
              <w:spacing w:after="0"/>
              <w:ind w:hanging="360"/>
            </w:pPr>
            <w:r>
              <w:t xml:space="preserve">Contrat de professionnalisation : janvier 2022 à mars 2023 </w:t>
            </w:r>
          </w:p>
        </w:tc>
      </w:tr>
      <w:tr w:rsidR="002A4DC5" w14:paraId="12953BEE" w14:textId="77777777" w:rsidTr="00975032">
        <w:trPr>
          <w:trHeight w:val="816"/>
        </w:trPr>
        <w:tc>
          <w:tcPr>
            <w:tcW w:w="3049" w:type="dxa"/>
            <w:tcBorders>
              <w:top w:val="single" w:sz="4" w:space="0" w:color="000000"/>
              <w:left w:val="single" w:sz="4" w:space="0" w:color="000000"/>
              <w:bottom w:val="single" w:sz="4" w:space="0" w:color="000000"/>
              <w:right w:val="single" w:sz="4" w:space="0" w:color="000000"/>
            </w:tcBorders>
          </w:tcPr>
          <w:p w14:paraId="12FFB4BC" w14:textId="77777777" w:rsidR="002A4DC5" w:rsidRDefault="00975032">
            <w:pPr>
              <w:spacing w:after="0"/>
              <w:ind w:left="1"/>
            </w:pPr>
            <w:r>
              <w:t xml:space="preserve">Lieu de travail et accès  </w:t>
            </w:r>
          </w:p>
        </w:tc>
        <w:tc>
          <w:tcPr>
            <w:tcW w:w="6717" w:type="dxa"/>
            <w:tcBorders>
              <w:top w:val="single" w:sz="4" w:space="0" w:color="000000"/>
              <w:left w:val="single" w:sz="4" w:space="0" w:color="000000"/>
              <w:bottom w:val="single" w:sz="4" w:space="0" w:color="000000"/>
              <w:right w:val="single" w:sz="4" w:space="0" w:color="000000"/>
            </w:tcBorders>
          </w:tcPr>
          <w:p w14:paraId="5B2181FA" w14:textId="77777777" w:rsidR="00975032" w:rsidRDefault="00975032">
            <w:pPr>
              <w:spacing w:after="2" w:line="237" w:lineRule="auto"/>
              <w:jc w:val="both"/>
            </w:pPr>
            <w:r>
              <w:t xml:space="preserve">Formation EQL :  </w:t>
            </w:r>
            <w:r>
              <w:t xml:space="preserve">92120 Montrouge </w:t>
            </w:r>
          </w:p>
          <w:p w14:paraId="76C54D10" w14:textId="2F84432A" w:rsidR="002A4DC5" w:rsidRDefault="00975032">
            <w:pPr>
              <w:spacing w:after="2" w:line="237" w:lineRule="auto"/>
              <w:jc w:val="both"/>
            </w:pPr>
            <w:r>
              <w:t xml:space="preserve">Capgemini :  </w:t>
            </w:r>
            <w:r>
              <w:fldChar w:fldCharType="begin"/>
            </w:r>
            <w:r>
              <w:instrText xml:space="preserve"> HYPERLINK "https://www.verif.com/liste-entreprises/?search=v&amp;code_postal=92130&amp;ape=&amp;/1/ca/d" \h </w:instrText>
            </w:r>
            <w:r>
              <w:fldChar w:fldCharType="separate"/>
            </w:r>
            <w:r>
              <w:t>92130 Issy les Moulineaux</w:t>
            </w:r>
            <w:r>
              <w:fldChar w:fldCharType="end"/>
            </w:r>
            <w:hyperlink r:id="rId7">
              <w:r>
                <w:t xml:space="preserve"> </w:t>
              </w:r>
            </w:hyperlink>
          </w:p>
          <w:p w14:paraId="0A2A4492" w14:textId="77777777" w:rsidR="002A4DC5" w:rsidRDefault="00975032">
            <w:pPr>
              <w:spacing w:after="0"/>
            </w:pPr>
            <w:r>
              <w:t xml:space="preserve">Déplacements à prévoir en clientèle. </w:t>
            </w:r>
          </w:p>
        </w:tc>
      </w:tr>
      <w:tr w:rsidR="002A4DC5" w14:paraId="1E76241E" w14:textId="77777777" w:rsidTr="00975032">
        <w:trPr>
          <w:trHeight w:val="547"/>
        </w:trPr>
        <w:tc>
          <w:tcPr>
            <w:tcW w:w="3049" w:type="dxa"/>
            <w:tcBorders>
              <w:top w:val="single" w:sz="4" w:space="0" w:color="000000"/>
              <w:left w:val="single" w:sz="4" w:space="0" w:color="000000"/>
              <w:bottom w:val="single" w:sz="4" w:space="0" w:color="000000"/>
              <w:right w:val="single" w:sz="4" w:space="0" w:color="000000"/>
            </w:tcBorders>
          </w:tcPr>
          <w:p w14:paraId="0228D75B" w14:textId="77777777" w:rsidR="002A4DC5" w:rsidRDefault="00975032">
            <w:pPr>
              <w:spacing w:after="0"/>
              <w:ind w:left="1"/>
            </w:pPr>
            <w:r>
              <w:t xml:space="preserve">Salaire mensuel brut et avantages </w:t>
            </w:r>
          </w:p>
        </w:tc>
        <w:tc>
          <w:tcPr>
            <w:tcW w:w="6717" w:type="dxa"/>
            <w:tcBorders>
              <w:top w:val="single" w:sz="4" w:space="0" w:color="000000"/>
              <w:left w:val="single" w:sz="4" w:space="0" w:color="000000"/>
              <w:bottom w:val="single" w:sz="4" w:space="0" w:color="000000"/>
              <w:right w:val="single" w:sz="4" w:space="0" w:color="000000"/>
            </w:tcBorders>
          </w:tcPr>
          <w:p w14:paraId="73DA72E1" w14:textId="77777777" w:rsidR="002A4DC5" w:rsidRDefault="00975032">
            <w:pPr>
              <w:spacing w:after="0"/>
            </w:pPr>
            <w:r>
              <w:t xml:space="preserve">Selon profil </w:t>
            </w:r>
          </w:p>
        </w:tc>
      </w:tr>
      <w:tr w:rsidR="002A4DC5" w14:paraId="0D16DF9C" w14:textId="77777777" w:rsidTr="00975032">
        <w:trPr>
          <w:trHeight w:val="2314"/>
        </w:trPr>
        <w:tc>
          <w:tcPr>
            <w:tcW w:w="3049" w:type="dxa"/>
            <w:tcBorders>
              <w:top w:val="single" w:sz="4" w:space="0" w:color="000000"/>
              <w:left w:val="single" w:sz="4" w:space="0" w:color="000000"/>
              <w:bottom w:val="single" w:sz="4" w:space="0" w:color="000000"/>
              <w:right w:val="single" w:sz="4" w:space="0" w:color="000000"/>
            </w:tcBorders>
          </w:tcPr>
          <w:p w14:paraId="35545F8D" w14:textId="77777777" w:rsidR="002A4DC5" w:rsidRDefault="00975032">
            <w:pPr>
              <w:spacing w:after="0"/>
              <w:ind w:left="1"/>
            </w:pPr>
            <w:r>
              <w:t xml:space="preserve">Missions  </w:t>
            </w:r>
          </w:p>
        </w:tc>
        <w:tc>
          <w:tcPr>
            <w:tcW w:w="6717" w:type="dxa"/>
            <w:tcBorders>
              <w:top w:val="single" w:sz="4" w:space="0" w:color="000000"/>
              <w:left w:val="single" w:sz="4" w:space="0" w:color="000000"/>
              <w:bottom w:val="single" w:sz="4" w:space="0" w:color="000000"/>
              <w:right w:val="single" w:sz="4" w:space="0" w:color="000000"/>
            </w:tcBorders>
          </w:tcPr>
          <w:p w14:paraId="00E27719" w14:textId="77777777" w:rsidR="002A4DC5" w:rsidRDefault="00975032">
            <w:pPr>
              <w:spacing w:after="0" w:line="284" w:lineRule="auto"/>
              <w:ind w:right="47"/>
              <w:jc w:val="both"/>
            </w:pPr>
            <w:r>
              <w:rPr>
                <w:sz w:val="20"/>
              </w:rPr>
              <w:t xml:space="preserve">Ce cursus permet à ses auditeurs, </w:t>
            </w:r>
            <w:r>
              <w:rPr>
                <w:b/>
                <w:sz w:val="20"/>
                <w:u w:val="single" w:color="000000"/>
              </w:rPr>
              <w:t>sans prérequis techniques</w:t>
            </w:r>
            <w:r>
              <w:rPr>
                <w:sz w:val="20"/>
              </w:rPr>
              <w:t xml:space="preserve">, d’acquérir des compétences pointues dans le </w:t>
            </w:r>
            <w:r>
              <w:rPr>
                <w:sz w:val="20"/>
              </w:rPr>
              <w:t xml:space="preserve">domaine du </w:t>
            </w:r>
            <w:r>
              <w:rPr>
                <w:b/>
                <w:sz w:val="20"/>
                <w:u w:val="single" w:color="000000"/>
              </w:rPr>
              <w:t>développement Java EE</w:t>
            </w:r>
            <w:r>
              <w:rPr>
                <w:sz w:val="20"/>
              </w:rPr>
              <w:t xml:space="preserve"> étendue à un savoir-faire avancé en termes de conception objet, de modélisation et de définition d'Architectures sophistiquées et d'interfaces riches s'appuyant sur le socle désormais de référence : Javascript.  </w:t>
            </w:r>
          </w:p>
          <w:p w14:paraId="0AFFA984" w14:textId="77777777" w:rsidR="002A4DC5" w:rsidRDefault="00975032">
            <w:pPr>
              <w:spacing w:after="0"/>
              <w:ind w:right="49"/>
              <w:jc w:val="both"/>
            </w:pPr>
            <w:r>
              <w:rPr>
                <w:sz w:val="20"/>
              </w:rPr>
              <w:t xml:space="preserve">Il </w:t>
            </w:r>
            <w:r>
              <w:rPr>
                <w:sz w:val="20"/>
              </w:rPr>
              <w:t xml:space="preserve">couvre aussi les domaines avancés de l'objet, depuis les architectures distribuées et architectures à base de composants jusqu' au Big Data, ainsi que les méthodes et les outils des approches DevOps. </w:t>
            </w:r>
          </w:p>
        </w:tc>
      </w:tr>
      <w:tr w:rsidR="002A4DC5" w14:paraId="6106E64C" w14:textId="77777777" w:rsidTr="00975032">
        <w:trPr>
          <w:trHeight w:val="2028"/>
        </w:trPr>
        <w:tc>
          <w:tcPr>
            <w:tcW w:w="3049" w:type="dxa"/>
            <w:tcBorders>
              <w:top w:val="single" w:sz="4" w:space="0" w:color="000000"/>
              <w:left w:val="single" w:sz="4" w:space="0" w:color="000000"/>
              <w:bottom w:val="single" w:sz="4" w:space="0" w:color="000000"/>
              <w:right w:val="single" w:sz="4" w:space="0" w:color="000000"/>
            </w:tcBorders>
          </w:tcPr>
          <w:p w14:paraId="418D1A8F" w14:textId="77777777" w:rsidR="002A4DC5" w:rsidRDefault="00975032">
            <w:pPr>
              <w:spacing w:after="0"/>
              <w:ind w:left="1"/>
            </w:pPr>
            <w:r>
              <w:t xml:space="preserve">Contenu de la formation </w:t>
            </w:r>
          </w:p>
        </w:tc>
        <w:tc>
          <w:tcPr>
            <w:tcW w:w="6717" w:type="dxa"/>
            <w:tcBorders>
              <w:top w:val="single" w:sz="4" w:space="0" w:color="000000"/>
              <w:left w:val="single" w:sz="4" w:space="0" w:color="000000"/>
              <w:bottom w:val="single" w:sz="4" w:space="0" w:color="000000"/>
              <w:right w:val="single" w:sz="4" w:space="0" w:color="000000"/>
            </w:tcBorders>
          </w:tcPr>
          <w:p w14:paraId="5D40A897" w14:textId="77777777" w:rsidR="002A4DC5" w:rsidRDefault="00975032">
            <w:pPr>
              <w:spacing w:after="25"/>
            </w:pPr>
            <w:r>
              <w:rPr>
                <w:b/>
                <w:color w:val="FF0000"/>
                <w:sz w:val="20"/>
                <w:u w:val="single" w:color="FF0000"/>
              </w:rPr>
              <w:t>MODULE 1</w:t>
            </w:r>
            <w:r>
              <w:rPr>
                <w:color w:val="FF0000"/>
                <w:sz w:val="20"/>
              </w:rPr>
              <w:t xml:space="preserve"> </w:t>
            </w:r>
            <w:r>
              <w:rPr>
                <w:sz w:val="20"/>
              </w:rPr>
              <w:t xml:space="preserve">: Acquisition des </w:t>
            </w:r>
            <w:proofErr w:type="gramStart"/>
            <w:r>
              <w:rPr>
                <w:sz w:val="20"/>
              </w:rPr>
              <w:t>fo</w:t>
            </w:r>
            <w:r>
              <w:rPr>
                <w:sz w:val="20"/>
              </w:rPr>
              <w:t>ndamentaux  •</w:t>
            </w:r>
            <w:proofErr w:type="gramEnd"/>
            <w:r>
              <w:rPr>
                <w:sz w:val="20"/>
              </w:rPr>
              <w:t xml:space="preserve"> Systèmes d'informations, </w:t>
            </w:r>
          </w:p>
          <w:p w14:paraId="149099B3" w14:textId="77777777" w:rsidR="002A4DC5" w:rsidRDefault="00975032">
            <w:pPr>
              <w:spacing w:after="25"/>
            </w:pPr>
            <w:r>
              <w:rPr>
                <w:sz w:val="20"/>
              </w:rPr>
              <w:t xml:space="preserve">Systèmes informatiques  </w:t>
            </w:r>
          </w:p>
          <w:p w14:paraId="0A6530A3" w14:textId="77777777" w:rsidR="002A4DC5" w:rsidRDefault="00975032">
            <w:pPr>
              <w:spacing w:after="0" w:line="284" w:lineRule="auto"/>
            </w:pPr>
            <w:r>
              <w:rPr>
                <w:b/>
                <w:color w:val="FF0000"/>
                <w:sz w:val="20"/>
                <w:u w:val="single" w:color="FF0000"/>
              </w:rPr>
              <w:t>MODULE 2</w:t>
            </w:r>
            <w:r>
              <w:rPr>
                <w:sz w:val="20"/>
              </w:rPr>
              <w:t xml:space="preserve"> : Conception de systèmes et Développement Web – Théorie générique de l'analyse-conception– Approche systémique : Merise– Outil de modélisation : Power AMC– Le cahier des charges : él</w:t>
            </w:r>
            <w:r>
              <w:rPr>
                <w:sz w:val="20"/>
              </w:rPr>
              <w:t xml:space="preserve">éments pratiques </w:t>
            </w:r>
          </w:p>
          <w:p w14:paraId="67079110" w14:textId="77777777" w:rsidR="002A4DC5" w:rsidRDefault="00975032">
            <w:pPr>
              <w:spacing w:after="26"/>
            </w:pPr>
            <w:r>
              <w:rPr>
                <w:b/>
                <w:color w:val="FF0000"/>
                <w:sz w:val="20"/>
                <w:u w:val="single" w:color="FF0000"/>
              </w:rPr>
              <w:t>MODULE 3</w:t>
            </w:r>
            <w:r>
              <w:rPr>
                <w:sz w:val="20"/>
              </w:rPr>
              <w:t xml:space="preserve"> : Architectures distribuées, qualité logicielle et client riche </w:t>
            </w:r>
          </w:p>
          <w:p w14:paraId="28550754" w14:textId="77777777" w:rsidR="002A4DC5" w:rsidRDefault="00975032">
            <w:pPr>
              <w:spacing w:after="0"/>
            </w:pPr>
            <w:r>
              <w:rPr>
                <w:sz w:val="20"/>
              </w:rPr>
              <w:t>Exploitation de systèmes Open Source</w:t>
            </w:r>
            <w:r>
              <w:rPr>
                <w:i/>
                <w:sz w:val="16"/>
              </w:rPr>
              <w:t xml:space="preserve"> </w:t>
            </w:r>
          </w:p>
        </w:tc>
      </w:tr>
    </w:tbl>
    <w:p w14:paraId="40820E1F" w14:textId="77777777" w:rsidR="002A4DC5" w:rsidRDefault="00975032">
      <w:pPr>
        <w:spacing w:after="0"/>
        <w:ind w:right="416"/>
        <w:jc w:val="center"/>
      </w:pPr>
      <w:r>
        <w:t xml:space="preserve"> </w:t>
      </w:r>
    </w:p>
    <w:tbl>
      <w:tblPr>
        <w:tblStyle w:val="TableGrid"/>
        <w:tblW w:w="9766" w:type="dxa"/>
        <w:tblInd w:w="-140" w:type="dxa"/>
        <w:tblCellMar>
          <w:top w:w="46" w:type="dxa"/>
          <w:left w:w="106" w:type="dxa"/>
          <w:bottom w:w="0" w:type="dxa"/>
          <w:right w:w="10" w:type="dxa"/>
        </w:tblCellMar>
        <w:tblLook w:val="04A0" w:firstRow="1" w:lastRow="0" w:firstColumn="1" w:lastColumn="0" w:noHBand="0" w:noVBand="1"/>
      </w:tblPr>
      <w:tblGrid>
        <w:gridCol w:w="3050"/>
        <w:gridCol w:w="6716"/>
      </w:tblGrid>
      <w:tr w:rsidR="002A4DC5" w14:paraId="6705390F" w14:textId="77777777" w:rsidTr="00975032">
        <w:trPr>
          <w:trHeight w:val="816"/>
        </w:trPr>
        <w:tc>
          <w:tcPr>
            <w:tcW w:w="3050" w:type="dxa"/>
            <w:tcBorders>
              <w:top w:val="single" w:sz="4" w:space="0" w:color="000000"/>
              <w:left w:val="single" w:sz="4" w:space="0" w:color="000000"/>
              <w:bottom w:val="single" w:sz="4" w:space="0" w:color="000000"/>
              <w:right w:val="single" w:sz="4" w:space="0" w:color="000000"/>
            </w:tcBorders>
          </w:tcPr>
          <w:p w14:paraId="586486DD" w14:textId="77777777" w:rsidR="002A4DC5" w:rsidRDefault="00975032">
            <w:pPr>
              <w:spacing w:after="0"/>
              <w:ind w:left="1"/>
            </w:pPr>
            <w:r>
              <w:t>Contraintes</w:t>
            </w:r>
            <w:r>
              <w:rPr>
                <w:sz w:val="20"/>
              </w:rPr>
              <w:t xml:space="preserve"> </w:t>
            </w:r>
          </w:p>
        </w:tc>
        <w:tc>
          <w:tcPr>
            <w:tcW w:w="6716" w:type="dxa"/>
            <w:tcBorders>
              <w:top w:val="single" w:sz="4" w:space="0" w:color="000000"/>
              <w:left w:val="single" w:sz="4" w:space="0" w:color="000000"/>
              <w:bottom w:val="single" w:sz="4" w:space="0" w:color="000000"/>
              <w:right w:val="single" w:sz="4" w:space="0" w:color="000000"/>
            </w:tcBorders>
          </w:tcPr>
          <w:p w14:paraId="2396B0B1" w14:textId="77777777" w:rsidR="002A4DC5" w:rsidRDefault="00975032">
            <w:pPr>
              <w:spacing w:after="0"/>
              <w:ind w:right="96"/>
              <w:jc w:val="both"/>
            </w:pPr>
            <w:r>
              <w:t xml:space="preserve">Réussir les tests d’entrée de l’organisme EQL, suivre avec succès la formation 6 mois avant d’intégrer Cap Gemini. La formation fait l’objet de financements. </w:t>
            </w:r>
          </w:p>
        </w:tc>
      </w:tr>
      <w:tr w:rsidR="002A4DC5" w14:paraId="783ED00A" w14:textId="77777777" w:rsidTr="00975032">
        <w:trPr>
          <w:trHeight w:val="2158"/>
        </w:trPr>
        <w:tc>
          <w:tcPr>
            <w:tcW w:w="3050" w:type="dxa"/>
            <w:tcBorders>
              <w:top w:val="single" w:sz="4" w:space="0" w:color="000000"/>
              <w:left w:val="single" w:sz="4" w:space="0" w:color="000000"/>
              <w:bottom w:val="single" w:sz="4" w:space="0" w:color="000000"/>
              <w:right w:val="single" w:sz="4" w:space="0" w:color="000000"/>
            </w:tcBorders>
          </w:tcPr>
          <w:p w14:paraId="4E6AEE95" w14:textId="77777777" w:rsidR="002A4DC5" w:rsidRDefault="00975032">
            <w:pPr>
              <w:spacing w:after="0"/>
              <w:ind w:left="1"/>
            </w:pPr>
            <w:r>
              <w:lastRenderedPageBreak/>
              <w:t xml:space="preserve">Processus de recrutement  </w:t>
            </w:r>
          </w:p>
        </w:tc>
        <w:tc>
          <w:tcPr>
            <w:tcW w:w="6716" w:type="dxa"/>
            <w:tcBorders>
              <w:top w:val="single" w:sz="4" w:space="0" w:color="000000"/>
              <w:left w:val="single" w:sz="4" w:space="0" w:color="000000"/>
              <w:bottom w:val="single" w:sz="4" w:space="0" w:color="000000"/>
              <w:right w:val="single" w:sz="4" w:space="0" w:color="000000"/>
            </w:tcBorders>
          </w:tcPr>
          <w:p w14:paraId="774FA6D0" w14:textId="77777777" w:rsidR="002A4DC5" w:rsidRDefault="00975032">
            <w:pPr>
              <w:numPr>
                <w:ilvl w:val="0"/>
                <w:numId w:val="2"/>
              </w:numPr>
              <w:spacing w:after="12"/>
              <w:ind w:hanging="360"/>
            </w:pPr>
            <w:r>
              <w:t xml:space="preserve">Les membres du CTE transmettent les candidatures à l’EPEC </w:t>
            </w:r>
          </w:p>
          <w:p w14:paraId="45BF6DDA" w14:textId="77777777" w:rsidR="002A4DC5" w:rsidRDefault="00975032">
            <w:pPr>
              <w:numPr>
                <w:ilvl w:val="0"/>
                <w:numId w:val="2"/>
              </w:numPr>
              <w:spacing w:after="12"/>
              <w:ind w:hanging="360"/>
            </w:pPr>
            <w:r>
              <w:t>L’EPEC tra</w:t>
            </w:r>
            <w:r>
              <w:t xml:space="preserve">nsmet les candidatures à EQL </w:t>
            </w:r>
          </w:p>
          <w:p w14:paraId="5BE61A70" w14:textId="77777777" w:rsidR="002A4DC5" w:rsidRDefault="00975032">
            <w:pPr>
              <w:numPr>
                <w:ilvl w:val="0"/>
                <w:numId w:val="2"/>
              </w:numPr>
              <w:spacing w:after="0" w:line="239" w:lineRule="auto"/>
              <w:ind w:hanging="360"/>
            </w:pPr>
            <w:r>
              <w:t xml:space="preserve">Les candidats ont </w:t>
            </w:r>
            <w:proofErr w:type="gramStart"/>
            <w:r>
              <w:t>contactés</w:t>
            </w:r>
            <w:proofErr w:type="gramEnd"/>
            <w:r>
              <w:t xml:space="preserve"> par EQL et démarrent le, processus de sélection (tests, jury) </w:t>
            </w:r>
          </w:p>
          <w:p w14:paraId="25911727" w14:textId="77777777" w:rsidR="002A4DC5" w:rsidRDefault="00975032">
            <w:pPr>
              <w:spacing w:after="0"/>
              <w:ind w:left="720"/>
            </w:pPr>
            <w:r>
              <w:t xml:space="preserve"> </w:t>
            </w:r>
          </w:p>
          <w:p w14:paraId="4A31EC30" w14:textId="77777777" w:rsidR="002A4DC5" w:rsidRDefault="00975032">
            <w:pPr>
              <w:spacing w:after="0"/>
              <w:ind w:right="95"/>
              <w:jc w:val="both"/>
            </w:pPr>
            <w:r>
              <w:t xml:space="preserve">Une fois les tests réussis, les candidats sont présentés à CAPGEMINI pour validation de la promesse d’embauche, et débute la formation intensive de 6 mois </w:t>
            </w:r>
          </w:p>
        </w:tc>
      </w:tr>
      <w:tr w:rsidR="002A4DC5" w14:paraId="507F1F95" w14:textId="77777777" w:rsidTr="00975032">
        <w:trPr>
          <w:trHeight w:val="281"/>
        </w:trPr>
        <w:tc>
          <w:tcPr>
            <w:tcW w:w="3050" w:type="dxa"/>
            <w:tcBorders>
              <w:top w:val="single" w:sz="4" w:space="0" w:color="000000"/>
              <w:left w:val="single" w:sz="4" w:space="0" w:color="000000"/>
              <w:bottom w:val="single" w:sz="4" w:space="0" w:color="000000"/>
              <w:right w:val="single" w:sz="4" w:space="0" w:color="000000"/>
            </w:tcBorders>
          </w:tcPr>
          <w:p w14:paraId="1CC01156" w14:textId="77777777" w:rsidR="002A4DC5" w:rsidRDefault="00975032">
            <w:pPr>
              <w:spacing w:after="0"/>
              <w:ind w:left="1"/>
            </w:pPr>
            <w:r>
              <w:t xml:space="preserve">Formation proposée  </w:t>
            </w:r>
          </w:p>
        </w:tc>
        <w:tc>
          <w:tcPr>
            <w:tcW w:w="6716" w:type="dxa"/>
            <w:tcBorders>
              <w:top w:val="single" w:sz="4" w:space="0" w:color="000000"/>
              <w:left w:val="single" w:sz="4" w:space="0" w:color="000000"/>
              <w:bottom w:val="single" w:sz="4" w:space="0" w:color="000000"/>
              <w:right w:val="single" w:sz="4" w:space="0" w:color="000000"/>
            </w:tcBorders>
          </w:tcPr>
          <w:p w14:paraId="0F65D3E8" w14:textId="77777777" w:rsidR="002A4DC5" w:rsidRDefault="00975032">
            <w:pPr>
              <w:spacing w:after="0"/>
            </w:pPr>
            <w:r>
              <w:t xml:space="preserve">Parcours Développeur JAVA </w:t>
            </w:r>
            <w:proofErr w:type="spellStart"/>
            <w:r>
              <w:t>FullStack</w:t>
            </w:r>
            <w:proofErr w:type="spellEnd"/>
            <w:r>
              <w:t xml:space="preserve">  </w:t>
            </w:r>
          </w:p>
        </w:tc>
      </w:tr>
      <w:tr w:rsidR="002A4DC5" w14:paraId="4EDDD79E" w14:textId="77777777" w:rsidTr="00975032">
        <w:trPr>
          <w:trHeight w:val="278"/>
        </w:trPr>
        <w:tc>
          <w:tcPr>
            <w:tcW w:w="3050" w:type="dxa"/>
            <w:tcBorders>
              <w:top w:val="single" w:sz="4" w:space="0" w:color="000000"/>
              <w:left w:val="single" w:sz="4" w:space="0" w:color="000000"/>
              <w:bottom w:val="single" w:sz="4" w:space="0" w:color="000000"/>
              <w:right w:val="single" w:sz="4" w:space="0" w:color="000000"/>
            </w:tcBorders>
          </w:tcPr>
          <w:p w14:paraId="37EB68BA" w14:textId="77777777" w:rsidR="002A4DC5" w:rsidRDefault="00975032">
            <w:pPr>
              <w:spacing w:after="0"/>
              <w:ind w:left="1"/>
            </w:pPr>
            <w:r>
              <w:t xml:space="preserve">Titre visé  </w:t>
            </w:r>
          </w:p>
        </w:tc>
        <w:tc>
          <w:tcPr>
            <w:tcW w:w="6716" w:type="dxa"/>
            <w:tcBorders>
              <w:top w:val="single" w:sz="4" w:space="0" w:color="000000"/>
              <w:left w:val="single" w:sz="4" w:space="0" w:color="000000"/>
              <w:bottom w:val="single" w:sz="4" w:space="0" w:color="000000"/>
              <w:right w:val="single" w:sz="4" w:space="0" w:color="000000"/>
            </w:tcBorders>
          </w:tcPr>
          <w:p w14:paraId="5D1D79FD" w14:textId="77777777" w:rsidR="002A4DC5" w:rsidRDefault="00975032">
            <w:pPr>
              <w:spacing w:after="0"/>
            </w:pPr>
            <w:r>
              <w:rPr>
                <w:i/>
              </w:rPr>
              <w:t xml:space="preserve">Titre certifié niveau 6 – RNCP31678 </w:t>
            </w:r>
          </w:p>
        </w:tc>
      </w:tr>
      <w:tr w:rsidR="002A4DC5" w14:paraId="2DE8EAE4" w14:textId="77777777" w:rsidTr="00975032">
        <w:trPr>
          <w:trHeight w:val="280"/>
        </w:trPr>
        <w:tc>
          <w:tcPr>
            <w:tcW w:w="3050" w:type="dxa"/>
            <w:tcBorders>
              <w:top w:val="single" w:sz="4" w:space="0" w:color="000000"/>
              <w:left w:val="single" w:sz="4" w:space="0" w:color="000000"/>
              <w:bottom w:val="single" w:sz="4" w:space="0" w:color="000000"/>
              <w:right w:val="single" w:sz="4" w:space="0" w:color="000000"/>
            </w:tcBorders>
          </w:tcPr>
          <w:p w14:paraId="2FA5BA24" w14:textId="77777777" w:rsidR="002A4DC5" w:rsidRDefault="00975032">
            <w:pPr>
              <w:spacing w:after="0"/>
              <w:ind w:left="1"/>
            </w:pPr>
            <w:r>
              <w:t xml:space="preserve">Evolution  </w:t>
            </w:r>
          </w:p>
        </w:tc>
        <w:tc>
          <w:tcPr>
            <w:tcW w:w="6716" w:type="dxa"/>
            <w:tcBorders>
              <w:top w:val="single" w:sz="4" w:space="0" w:color="000000"/>
              <w:left w:val="single" w:sz="4" w:space="0" w:color="000000"/>
              <w:bottom w:val="single" w:sz="4" w:space="0" w:color="000000"/>
              <w:right w:val="single" w:sz="4" w:space="0" w:color="000000"/>
            </w:tcBorders>
          </w:tcPr>
          <w:p w14:paraId="03E2C695" w14:textId="77777777" w:rsidR="002A4DC5" w:rsidRDefault="00975032">
            <w:pPr>
              <w:spacing w:after="0"/>
            </w:pPr>
            <w:r>
              <w:t xml:space="preserve">CDI sur un poste de Développeur Java </w:t>
            </w:r>
            <w:proofErr w:type="spellStart"/>
            <w:r>
              <w:t>FullStack</w:t>
            </w:r>
            <w:proofErr w:type="spellEnd"/>
            <w:r>
              <w:t xml:space="preserve"> </w:t>
            </w:r>
          </w:p>
        </w:tc>
      </w:tr>
      <w:tr w:rsidR="002A4DC5" w14:paraId="0B60AC36" w14:textId="77777777">
        <w:trPr>
          <w:trHeight w:val="348"/>
        </w:trPr>
        <w:tc>
          <w:tcPr>
            <w:tcW w:w="9766" w:type="dxa"/>
            <w:gridSpan w:val="2"/>
            <w:tcBorders>
              <w:top w:val="single" w:sz="4" w:space="0" w:color="000000"/>
              <w:left w:val="single" w:sz="4" w:space="0" w:color="000000"/>
              <w:bottom w:val="single" w:sz="4" w:space="0" w:color="000000"/>
              <w:right w:val="single" w:sz="4" w:space="0" w:color="000000"/>
            </w:tcBorders>
            <w:shd w:val="clear" w:color="auto" w:fill="DBE5F1"/>
          </w:tcPr>
          <w:p w14:paraId="5B87FF79" w14:textId="77777777" w:rsidR="002A4DC5" w:rsidRDefault="00975032">
            <w:pPr>
              <w:spacing w:after="0"/>
              <w:ind w:right="98"/>
              <w:jc w:val="center"/>
            </w:pPr>
            <w:r>
              <w:rPr>
                <w:b/>
                <w:sz w:val="28"/>
              </w:rPr>
              <w:t>PROFIL DU CANDIDAT</w:t>
            </w:r>
            <w:r>
              <w:t xml:space="preserve"> </w:t>
            </w:r>
          </w:p>
        </w:tc>
      </w:tr>
      <w:tr w:rsidR="002A4DC5" w14:paraId="3495901E" w14:textId="77777777" w:rsidTr="00975032">
        <w:trPr>
          <w:trHeight w:val="1307"/>
        </w:trPr>
        <w:tc>
          <w:tcPr>
            <w:tcW w:w="3050" w:type="dxa"/>
            <w:tcBorders>
              <w:top w:val="single" w:sz="4" w:space="0" w:color="000000"/>
              <w:left w:val="single" w:sz="4" w:space="0" w:color="000000"/>
              <w:bottom w:val="single" w:sz="4" w:space="0" w:color="000000"/>
              <w:right w:val="single" w:sz="4" w:space="0" w:color="000000"/>
            </w:tcBorders>
          </w:tcPr>
          <w:p w14:paraId="16BB52A2" w14:textId="77777777" w:rsidR="002A4DC5" w:rsidRDefault="00975032">
            <w:pPr>
              <w:spacing w:after="0"/>
              <w:ind w:left="1"/>
            </w:pPr>
            <w:r>
              <w:t xml:space="preserve">Diplôme / Qualification </w:t>
            </w:r>
          </w:p>
        </w:tc>
        <w:tc>
          <w:tcPr>
            <w:tcW w:w="6716" w:type="dxa"/>
            <w:tcBorders>
              <w:top w:val="single" w:sz="4" w:space="0" w:color="000000"/>
              <w:left w:val="single" w:sz="4" w:space="0" w:color="000000"/>
              <w:bottom w:val="single" w:sz="4" w:space="0" w:color="000000"/>
              <w:right w:val="single" w:sz="4" w:space="0" w:color="000000"/>
            </w:tcBorders>
          </w:tcPr>
          <w:p w14:paraId="2B5DE17A" w14:textId="77777777" w:rsidR="002A4DC5" w:rsidRDefault="00975032">
            <w:pPr>
              <w:numPr>
                <w:ilvl w:val="0"/>
                <w:numId w:val="3"/>
              </w:numPr>
              <w:spacing w:after="32" w:line="239" w:lineRule="auto"/>
              <w:ind w:hanging="360"/>
              <w:jc w:val="both"/>
            </w:pPr>
            <w:r>
              <w:rPr>
                <w:sz w:val="21"/>
              </w:rPr>
              <w:t xml:space="preserve">Bac+4/5+ issus de filières généralistes, scientifiques et non scientifiques (droit, économie, gestion, finance, lettres, …) </w:t>
            </w:r>
          </w:p>
          <w:p w14:paraId="4B9FC9E1" w14:textId="77777777" w:rsidR="002A4DC5" w:rsidRDefault="00975032">
            <w:pPr>
              <w:numPr>
                <w:ilvl w:val="0"/>
                <w:numId w:val="3"/>
              </w:numPr>
              <w:spacing w:after="9" w:line="239" w:lineRule="auto"/>
              <w:ind w:hanging="360"/>
              <w:jc w:val="both"/>
            </w:pPr>
            <w:r>
              <w:rPr>
                <w:sz w:val="21"/>
              </w:rPr>
              <w:t xml:space="preserve">Bac+2/3+ issus de filières informatiques (systèmes, réseaux, exploitation, …) souhaitant passer au domaine du développement. </w:t>
            </w:r>
          </w:p>
          <w:p w14:paraId="4C109E4B" w14:textId="77777777" w:rsidR="002A4DC5" w:rsidRDefault="00975032">
            <w:pPr>
              <w:spacing w:after="0"/>
            </w:pPr>
            <w:r>
              <w:rPr>
                <w:b/>
              </w:rPr>
              <w:t xml:space="preserve"> </w:t>
            </w:r>
          </w:p>
        </w:tc>
      </w:tr>
      <w:tr w:rsidR="002A4DC5" w14:paraId="0DAB7089" w14:textId="77777777" w:rsidTr="00975032">
        <w:trPr>
          <w:trHeight w:val="545"/>
        </w:trPr>
        <w:tc>
          <w:tcPr>
            <w:tcW w:w="3050" w:type="dxa"/>
            <w:tcBorders>
              <w:top w:val="single" w:sz="4" w:space="0" w:color="000000"/>
              <w:left w:val="single" w:sz="4" w:space="0" w:color="000000"/>
              <w:bottom w:val="single" w:sz="4" w:space="0" w:color="000000"/>
              <w:right w:val="single" w:sz="4" w:space="0" w:color="000000"/>
            </w:tcBorders>
          </w:tcPr>
          <w:p w14:paraId="68C6A5D0" w14:textId="77777777" w:rsidR="002A4DC5" w:rsidRDefault="00975032">
            <w:pPr>
              <w:spacing w:after="0"/>
              <w:ind w:left="1"/>
            </w:pPr>
            <w:r>
              <w:t xml:space="preserve">Expérience </w:t>
            </w:r>
          </w:p>
        </w:tc>
        <w:tc>
          <w:tcPr>
            <w:tcW w:w="6716" w:type="dxa"/>
            <w:tcBorders>
              <w:top w:val="single" w:sz="4" w:space="0" w:color="000000"/>
              <w:left w:val="single" w:sz="4" w:space="0" w:color="000000"/>
              <w:bottom w:val="single" w:sz="4" w:space="0" w:color="000000"/>
              <w:right w:val="single" w:sz="4" w:space="0" w:color="000000"/>
            </w:tcBorders>
          </w:tcPr>
          <w:p w14:paraId="27D41161" w14:textId="77777777" w:rsidR="002A4DC5" w:rsidRDefault="00975032">
            <w:pPr>
              <w:spacing w:after="0"/>
            </w:pPr>
            <w:r>
              <w:t xml:space="preserve">Cette offre s’adresse autant à des jeunes diplômés qu’à des personnes en reconversion. </w:t>
            </w:r>
          </w:p>
        </w:tc>
      </w:tr>
      <w:tr w:rsidR="002A4DC5" w14:paraId="6712C6A0" w14:textId="77777777" w:rsidTr="00975032">
        <w:trPr>
          <w:trHeight w:val="547"/>
        </w:trPr>
        <w:tc>
          <w:tcPr>
            <w:tcW w:w="3050" w:type="dxa"/>
            <w:tcBorders>
              <w:top w:val="single" w:sz="4" w:space="0" w:color="000000"/>
              <w:left w:val="single" w:sz="4" w:space="0" w:color="000000"/>
              <w:bottom w:val="single" w:sz="4" w:space="0" w:color="000000"/>
              <w:right w:val="single" w:sz="4" w:space="0" w:color="000000"/>
            </w:tcBorders>
          </w:tcPr>
          <w:p w14:paraId="0508F763" w14:textId="77777777" w:rsidR="002A4DC5" w:rsidRDefault="00975032">
            <w:pPr>
              <w:spacing w:after="0"/>
              <w:ind w:left="1"/>
            </w:pPr>
            <w:proofErr w:type="spellStart"/>
            <w:r>
              <w:t>Pré-requis</w:t>
            </w:r>
            <w:proofErr w:type="spellEnd"/>
            <w:r>
              <w:t xml:space="preserve"> </w:t>
            </w:r>
          </w:p>
        </w:tc>
        <w:tc>
          <w:tcPr>
            <w:tcW w:w="6716" w:type="dxa"/>
            <w:tcBorders>
              <w:top w:val="single" w:sz="4" w:space="0" w:color="000000"/>
              <w:left w:val="single" w:sz="4" w:space="0" w:color="000000"/>
              <w:bottom w:val="single" w:sz="4" w:space="0" w:color="000000"/>
              <w:right w:val="single" w:sz="4" w:space="0" w:color="000000"/>
            </w:tcBorders>
          </w:tcPr>
          <w:p w14:paraId="44074C9C" w14:textId="77777777" w:rsidR="002A4DC5" w:rsidRDefault="00975032">
            <w:pPr>
              <w:spacing w:after="0"/>
              <w:jc w:val="both"/>
            </w:pPr>
            <w:r>
              <w:t xml:space="preserve">Titulaire d’un bac+4/5 des filières généralistes, intérêt pour le </w:t>
            </w:r>
            <w:proofErr w:type="gramStart"/>
            <w:r>
              <w:t>numérique  Ou</w:t>
            </w:r>
            <w:proofErr w:type="gramEnd"/>
            <w:r>
              <w:t xml:space="preserve"> titulaire d’un bac+2/3 (filière du numérique) </w:t>
            </w:r>
          </w:p>
        </w:tc>
      </w:tr>
      <w:tr w:rsidR="002A4DC5" w14:paraId="47E8592C" w14:textId="77777777" w:rsidTr="00975032">
        <w:trPr>
          <w:trHeight w:val="281"/>
        </w:trPr>
        <w:tc>
          <w:tcPr>
            <w:tcW w:w="3050" w:type="dxa"/>
            <w:tcBorders>
              <w:top w:val="single" w:sz="4" w:space="0" w:color="000000"/>
              <w:left w:val="single" w:sz="4" w:space="0" w:color="000000"/>
              <w:bottom w:val="single" w:sz="4" w:space="0" w:color="000000"/>
              <w:right w:val="single" w:sz="4" w:space="0" w:color="000000"/>
            </w:tcBorders>
          </w:tcPr>
          <w:p w14:paraId="565ACCAD" w14:textId="77777777" w:rsidR="002A4DC5" w:rsidRDefault="00975032">
            <w:pPr>
              <w:spacing w:after="0"/>
              <w:ind w:left="1"/>
            </w:pPr>
            <w:r>
              <w:t xml:space="preserve">Qualités </w:t>
            </w:r>
          </w:p>
        </w:tc>
        <w:tc>
          <w:tcPr>
            <w:tcW w:w="6716" w:type="dxa"/>
            <w:tcBorders>
              <w:top w:val="single" w:sz="4" w:space="0" w:color="000000"/>
              <w:left w:val="single" w:sz="4" w:space="0" w:color="000000"/>
              <w:bottom w:val="single" w:sz="4" w:space="0" w:color="000000"/>
              <w:right w:val="single" w:sz="4" w:space="0" w:color="000000"/>
            </w:tcBorders>
          </w:tcPr>
          <w:p w14:paraId="746AFFE8" w14:textId="77777777" w:rsidR="002A4DC5" w:rsidRDefault="00975032">
            <w:pPr>
              <w:spacing w:after="0"/>
            </w:pPr>
            <w:r>
              <w:t xml:space="preserve">Organisé </w:t>
            </w:r>
          </w:p>
        </w:tc>
      </w:tr>
      <w:tr w:rsidR="002A4DC5" w14:paraId="73D44A4A" w14:textId="77777777" w:rsidTr="00975032">
        <w:trPr>
          <w:trHeight w:val="280"/>
        </w:trPr>
        <w:tc>
          <w:tcPr>
            <w:tcW w:w="3050" w:type="dxa"/>
            <w:tcBorders>
              <w:top w:val="single" w:sz="4" w:space="0" w:color="000000"/>
              <w:left w:val="single" w:sz="4" w:space="0" w:color="000000"/>
              <w:bottom w:val="single" w:sz="4" w:space="0" w:color="000000"/>
              <w:right w:val="single" w:sz="4" w:space="0" w:color="000000"/>
            </w:tcBorders>
          </w:tcPr>
          <w:p w14:paraId="37B1CA6C" w14:textId="77777777" w:rsidR="002A4DC5" w:rsidRDefault="00975032">
            <w:pPr>
              <w:spacing w:after="0"/>
              <w:ind w:left="1"/>
            </w:pPr>
            <w:r>
              <w:t xml:space="preserve">Niveau linguistique </w:t>
            </w:r>
          </w:p>
        </w:tc>
        <w:tc>
          <w:tcPr>
            <w:tcW w:w="6716" w:type="dxa"/>
            <w:tcBorders>
              <w:top w:val="single" w:sz="4" w:space="0" w:color="000000"/>
              <w:left w:val="single" w:sz="4" w:space="0" w:color="000000"/>
              <w:bottom w:val="single" w:sz="4" w:space="0" w:color="000000"/>
              <w:right w:val="single" w:sz="4" w:space="0" w:color="000000"/>
            </w:tcBorders>
          </w:tcPr>
          <w:p w14:paraId="3AAF581E" w14:textId="77777777" w:rsidR="002A4DC5" w:rsidRDefault="00975032">
            <w:pPr>
              <w:spacing w:after="0"/>
            </w:pPr>
            <w:r>
              <w:t xml:space="preserve">Anglais intermédiaire </w:t>
            </w:r>
          </w:p>
        </w:tc>
      </w:tr>
    </w:tbl>
    <w:p w14:paraId="5BC24813" w14:textId="77777777" w:rsidR="002A4DC5" w:rsidRDefault="00975032">
      <w:pPr>
        <w:spacing w:after="4749"/>
      </w:pPr>
      <w:r>
        <w:t xml:space="preserve"> </w:t>
      </w:r>
    </w:p>
    <w:sectPr w:rsidR="002A4DC5">
      <w:pgSz w:w="11899" w:h="16841"/>
      <w:pgMar w:top="514" w:right="1073" w:bottom="17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B7C"/>
    <w:multiLevelType w:val="hybridMultilevel"/>
    <w:tmpl w:val="2E200CFA"/>
    <w:lvl w:ilvl="0" w:tplc="57F4C37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9033DA">
      <w:start w:val="1"/>
      <w:numFmt w:val="lowerLetter"/>
      <w:lvlText w:val="%2"/>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208988">
      <w:start w:val="1"/>
      <w:numFmt w:val="lowerRoman"/>
      <w:lvlText w:val="%3"/>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B68722">
      <w:start w:val="1"/>
      <w:numFmt w:val="decimal"/>
      <w:lvlText w:val="%4"/>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4462DE">
      <w:start w:val="1"/>
      <w:numFmt w:val="lowerLetter"/>
      <w:lvlText w:val="%5"/>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2C1704">
      <w:start w:val="1"/>
      <w:numFmt w:val="lowerRoman"/>
      <w:lvlText w:val="%6"/>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3828AE">
      <w:start w:val="1"/>
      <w:numFmt w:val="decimal"/>
      <w:lvlText w:val="%7"/>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9CA13C">
      <w:start w:val="1"/>
      <w:numFmt w:val="lowerLetter"/>
      <w:lvlText w:val="%8"/>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0CA9C6">
      <w:start w:val="1"/>
      <w:numFmt w:val="lowerRoman"/>
      <w:lvlText w:val="%9"/>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FB2ACB"/>
    <w:multiLevelType w:val="hybridMultilevel"/>
    <w:tmpl w:val="F6442AD6"/>
    <w:lvl w:ilvl="0" w:tplc="B86465E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D6B38C">
      <w:start w:val="1"/>
      <w:numFmt w:val="lowerLetter"/>
      <w:lvlText w:val="%2"/>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3C0DCA">
      <w:start w:val="1"/>
      <w:numFmt w:val="lowerRoman"/>
      <w:lvlText w:val="%3"/>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7A0172">
      <w:start w:val="1"/>
      <w:numFmt w:val="decimal"/>
      <w:lvlText w:val="%4"/>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407B74">
      <w:start w:val="1"/>
      <w:numFmt w:val="lowerLetter"/>
      <w:lvlText w:val="%5"/>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FE3F3A">
      <w:start w:val="1"/>
      <w:numFmt w:val="lowerRoman"/>
      <w:lvlText w:val="%6"/>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243426">
      <w:start w:val="1"/>
      <w:numFmt w:val="decimal"/>
      <w:lvlText w:val="%7"/>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789018">
      <w:start w:val="1"/>
      <w:numFmt w:val="lowerLetter"/>
      <w:lvlText w:val="%8"/>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9C3488">
      <w:start w:val="1"/>
      <w:numFmt w:val="lowerRoman"/>
      <w:lvlText w:val="%9"/>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AC27CCA"/>
    <w:multiLevelType w:val="hybridMultilevel"/>
    <w:tmpl w:val="37703782"/>
    <w:lvl w:ilvl="0" w:tplc="CD049660">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2030A8">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BCF2D4">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9630AC">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369190">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402A44">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56804E">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7EFA64">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DA75E8">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2B16A4B"/>
    <w:multiLevelType w:val="hybridMultilevel"/>
    <w:tmpl w:val="32AC3912"/>
    <w:lvl w:ilvl="0" w:tplc="C0E49CD0">
      <w:start w:val="1"/>
      <w:numFmt w:val="decimal"/>
      <w:lvlText w:val="%1."/>
      <w:lvlJc w:val="left"/>
      <w:pPr>
        <w:ind w:left="8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E563BDE">
      <w:start w:val="1"/>
      <w:numFmt w:val="lowerLetter"/>
      <w:lvlText w:val="%2"/>
      <w:lvlJc w:val="left"/>
      <w:pPr>
        <w:ind w:left="16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804469E">
      <w:start w:val="1"/>
      <w:numFmt w:val="lowerRoman"/>
      <w:lvlText w:val="%3"/>
      <w:lvlJc w:val="left"/>
      <w:pPr>
        <w:ind w:left="23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93C6ED4">
      <w:start w:val="1"/>
      <w:numFmt w:val="decimal"/>
      <w:lvlText w:val="%4"/>
      <w:lvlJc w:val="left"/>
      <w:pPr>
        <w:ind w:left="31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E06EEE4">
      <w:start w:val="1"/>
      <w:numFmt w:val="lowerLetter"/>
      <w:lvlText w:val="%5"/>
      <w:lvlJc w:val="left"/>
      <w:pPr>
        <w:ind w:left="38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BEE7470">
      <w:start w:val="1"/>
      <w:numFmt w:val="lowerRoman"/>
      <w:lvlText w:val="%6"/>
      <w:lvlJc w:val="left"/>
      <w:pPr>
        <w:ind w:left="45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ECC1AA8">
      <w:start w:val="1"/>
      <w:numFmt w:val="decimal"/>
      <w:lvlText w:val="%7"/>
      <w:lvlJc w:val="left"/>
      <w:pPr>
        <w:ind w:left="52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DFE1DB8">
      <w:start w:val="1"/>
      <w:numFmt w:val="lowerLetter"/>
      <w:lvlText w:val="%8"/>
      <w:lvlJc w:val="left"/>
      <w:pPr>
        <w:ind w:left="59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F72AC84">
      <w:start w:val="1"/>
      <w:numFmt w:val="lowerRoman"/>
      <w:lvlText w:val="%9"/>
      <w:lvlJc w:val="left"/>
      <w:pPr>
        <w:ind w:left="67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16cid:durableId="600837466">
    <w:abstractNumId w:val="0"/>
  </w:num>
  <w:num w:numId="2" w16cid:durableId="1665011218">
    <w:abstractNumId w:val="1"/>
  </w:num>
  <w:num w:numId="3" w16cid:durableId="1445688262">
    <w:abstractNumId w:val="3"/>
  </w:num>
  <w:num w:numId="4" w16cid:durableId="688022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DC5"/>
    <w:rsid w:val="002A4DC5"/>
    <w:rsid w:val="009750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6B14"/>
  <w15:docId w15:val="{39CB84D4-67C4-4DC9-9D48-C7010866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rif.com/liste-entreprises/?search=v&amp;code_postal=92130&amp;ape=&amp;/1/c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leql.fr/" TargetMode="External"/><Relationship Id="rId5" Type="http://schemas.openxmlformats.org/officeDocument/2006/relationships/hyperlink" Target="https://www.ecoleql.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3299</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delusk</dc:creator>
  <cp:keywords/>
  <cp:lastModifiedBy>Gladys BOISSERON</cp:lastModifiedBy>
  <cp:revision>2</cp:revision>
  <dcterms:created xsi:type="dcterms:W3CDTF">2022-05-18T15:13:00Z</dcterms:created>
  <dcterms:modified xsi:type="dcterms:W3CDTF">2022-05-18T15:13:00Z</dcterms:modified>
</cp:coreProperties>
</file>